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凉山州民族干部学校办学条件达标更新改造项目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为了规范实施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凉山州民族干部学校办学条件达标更新改造项目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，依据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中华人民共和国民法典》等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有关规定，现面向社会进行项目监理询价，并将监理范围、内容和要求函告如下：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一、工程概况：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（一）维修改造范围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干训教室升级改造、干训讨论室升级改造、大会议室改造设计、干训办公室改造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（二）招标控制价：7680.00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二、招标范围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及监理费：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（一）招标范围：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本次招标范围为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凉山州民族干部学校办学条件达标更新改造项目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施工期间、竣工验收等各阶段的服务工作，并提交项目有关技术资料。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：报价超过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招标控制价</w:t>
      </w:r>
      <w:r>
        <w:rPr>
          <w:rFonts w:hint="eastAsia" w:ascii="仿宋_GB2312" w:hAnsi="仿宋_GB2312" w:eastAsia="仿宋_GB2312" w:cs="仿宋_GB2312"/>
          <w:sz w:val="32"/>
          <w:szCs w:val="32"/>
        </w:rPr>
        <w:t>为无效报价；报价包含税费。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三、资质条件及工作要求：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）投标单位应具有独立的法人资格，具有房屋建筑工程监理资质。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）具有良好的社会信誉及专业技术人员，深入项目现场对工程进行全过程监理，主动协调好施工过程中各种问题及矛盾的处理，并对工程质量、安全、进度、投资进行全过程监控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和做好监理日志工作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）及时做好施工过程中资料的收集，必须做到资料的收集与施工进度同步。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）工程验收后20天内完成资料的整理归档。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五）监理单位不得将承揽的监理业务转包。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六）完成业主单位安排的其他监理工作。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四、报价文件及资料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需严格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按照附件格式密封并加盖公章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（一）书面报价文件（严格按附件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1格式密封并加盖公章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（1）单位营业执照（加盖单位公章的复印件）；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（2）法人授权书（原件）；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（3）经办人身份证（原件及复印件）；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（4）相关业绩证明材料；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（5）提供总监理工程师等项目参与人员名单与证书；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（6）报价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函（需按附件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2格式编制报价函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以上文件及资料需编纂目录、页码并胶装。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（二）电子文档1份(备注:电子文档采用光盘制作，光盘内容与书面报价文件一致)，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严格按附件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1格式密封并加盖公章。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五、资料提交截止时间：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日16:00整；递交地址：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西昌市北街老统部巷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凉山州民族干部学校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、马老师，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15183462839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18308297605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报价函密封袋封面样式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附件2.报价函格式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报价函密封袋封面样式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  <w:t>报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  <w:t>价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  <w:t>函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</w:pPr>
    </w:p>
    <w:tbl>
      <w:tblPr>
        <w:tblStyle w:val="3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28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凉山州民族干部学校办学条件达标更新改造项目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28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28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28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57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84"/>
          <w:szCs w:val="8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附件2.报价函格式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询价采购供应商报价函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凉山州民族干部学校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我公司已认真阅读了贵方发布的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凉山州民族干部学校办学条件达标更新改造项目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函，接受贵方提出的各项要求，参与该项目报价。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064"/>
        <w:gridCol w:w="1027"/>
        <w:gridCol w:w="1813"/>
        <w:gridCol w:w="514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单位地址</w:t>
            </w:r>
          </w:p>
        </w:tc>
        <w:tc>
          <w:tcPr>
            <w:tcW w:w="674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法人代表</w:t>
            </w:r>
          </w:p>
        </w:tc>
        <w:tc>
          <w:tcPr>
            <w:tcW w:w="2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经办人</w:t>
            </w:r>
          </w:p>
        </w:tc>
        <w:tc>
          <w:tcPr>
            <w:tcW w:w="2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报价（元）</w:t>
            </w:r>
          </w:p>
        </w:tc>
      </w:tr>
      <w:t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凉山州民族干部学校办学条件达标更新改造项目监理服务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mZWEyNTQxMjk4M2MwNDFmNDg3ODk5OGEyMDkifQ=="/>
  </w:docVars>
  <w:rsids>
    <w:rsidRoot w:val="3E7629D5"/>
    <w:rsid w:val="017E757F"/>
    <w:rsid w:val="065B7836"/>
    <w:rsid w:val="0B0C20A5"/>
    <w:rsid w:val="0E7525BA"/>
    <w:rsid w:val="0EC67E11"/>
    <w:rsid w:val="13742290"/>
    <w:rsid w:val="23263442"/>
    <w:rsid w:val="3BDA141A"/>
    <w:rsid w:val="3C9506A5"/>
    <w:rsid w:val="3E7629D5"/>
    <w:rsid w:val="49332FD1"/>
    <w:rsid w:val="4CD11285"/>
    <w:rsid w:val="4F9E46AF"/>
    <w:rsid w:val="5A527A53"/>
    <w:rsid w:val="5D485594"/>
    <w:rsid w:val="75C54845"/>
    <w:rsid w:val="7917598C"/>
    <w:rsid w:val="CF799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1004</Words>
  <Characters>1046</Characters>
  <Lines>0</Lines>
  <Paragraphs>0</Paragraphs>
  <TotalTime>8</TotalTime>
  <ScaleCrop>false</ScaleCrop>
  <LinksUpToDate>false</LinksUpToDate>
  <CharactersWithSpaces>1148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2024-05-07T08:54:00Z</dcterms:created>
  <dc:creator>马里古</dc:creator>
  <cp:lastModifiedBy>张天鸿</cp:lastModifiedBy>
  <dcterms:modified xsi:type="dcterms:W3CDTF">2024-07-16T13:36:50Z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8901DF18D1D64616ABFED6653B20C6A4_13</vt:lpwstr>
  </property>
</Properties>
</file>